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02" w:rsidRDefault="00780202" w:rsidP="00780202">
      <w:pPr>
        <w:jc w:val="left"/>
        <w:rPr>
          <w:sz w:val="24"/>
          <w:szCs w:val="24"/>
        </w:rPr>
      </w:pPr>
    </w:p>
    <w:p w:rsidR="00E86287" w:rsidRPr="003B513C" w:rsidRDefault="005429A6" w:rsidP="00186E6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B513C">
        <w:rPr>
          <w:rFonts w:asciiTheme="majorEastAsia" w:eastAsiaTheme="majorEastAsia" w:hAnsiTheme="majorEastAsia" w:hint="eastAsia"/>
          <w:sz w:val="36"/>
          <w:szCs w:val="36"/>
        </w:rPr>
        <w:t>同</w:t>
      </w:r>
      <w:r w:rsidR="00186E6F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意</w:t>
      </w:r>
      <w:r w:rsidR="00245BF0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4E3E6E" w:rsidRDefault="004E3E6E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9C4463" w:rsidRDefault="009C4463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1C3D20" w:rsidRPr="003B513C" w:rsidRDefault="00587685" w:rsidP="001C3D20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南相馬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市長　</w:t>
      </w:r>
      <w:r>
        <w:rPr>
          <w:rFonts w:asciiTheme="majorEastAsia" w:eastAsiaTheme="majorEastAsia" w:hAnsiTheme="majorEastAsia" w:hint="eastAsia"/>
          <w:sz w:val="24"/>
          <w:szCs w:val="24"/>
        </w:rPr>
        <w:t>門馬　和夫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C3D20" w:rsidRPr="003B513C" w:rsidRDefault="001C3D20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A97336" w:rsidRDefault="005429A6" w:rsidP="00FD64B2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20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587685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587685" w:rsidRPr="00BA4251">
        <w:rPr>
          <w:rFonts w:asciiTheme="majorEastAsia" w:eastAsiaTheme="majorEastAsia" w:hAnsiTheme="majorEastAsia" w:hint="eastAsia"/>
          <w:sz w:val="24"/>
          <w:szCs w:val="24"/>
        </w:rPr>
        <w:t>場　 所）</w:t>
      </w:r>
      <w:r w:rsidR="00587685" w:rsidRPr="006A3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876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87685" w:rsidRPr="006A3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876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87685" w:rsidRPr="006A3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において、</w:t>
      </w:r>
    </w:p>
    <w:p w:rsidR="00210527" w:rsidRDefault="00587685" w:rsidP="00587685">
      <w:pPr>
        <w:ind w:left="1"/>
        <w:rPr>
          <w:rFonts w:asciiTheme="majorEastAsia" w:eastAsiaTheme="majorEastAsia" w:hAnsiTheme="majorEastAsia"/>
          <w:sz w:val="24"/>
          <w:szCs w:val="24"/>
        </w:rPr>
      </w:pPr>
      <w:r w:rsidRPr="00BA4251">
        <w:rPr>
          <w:rFonts w:asciiTheme="majorEastAsia" w:eastAsiaTheme="majorEastAsia" w:hAnsiTheme="majorEastAsia" w:hint="eastAsia"/>
          <w:sz w:val="24"/>
          <w:szCs w:val="24"/>
        </w:rPr>
        <w:t>（加害者名）</w:t>
      </w:r>
      <w:r w:rsidRPr="006A3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A3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の不法行為により</w:t>
      </w:r>
      <w:r w:rsidRPr="00BA4251">
        <w:rPr>
          <w:rFonts w:asciiTheme="majorEastAsia" w:eastAsiaTheme="majorEastAsia" w:hAnsiTheme="majorEastAsia" w:hint="eastAsia"/>
          <w:sz w:val="24"/>
          <w:szCs w:val="24"/>
        </w:rPr>
        <w:t>（被害者名）</w:t>
      </w:r>
      <w:r w:rsidRPr="006A3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6A3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66425" w:rsidRPr="003B513C">
        <w:rPr>
          <w:rFonts w:asciiTheme="majorEastAsia" w:eastAsiaTheme="majorEastAsia" w:hAnsiTheme="majorEastAsia" w:hint="eastAsia"/>
          <w:sz w:val="24"/>
          <w:szCs w:val="24"/>
        </w:rPr>
        <w:t>被った疾病又は負傷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について、私が加害者に対して有する損害賠償請求権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法令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によ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保険者が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保険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給付の価格の限度におい</w:t>
      </w:r>
      <w:r w:rsidR="003F1F75" w:rsidRPr="003B513C">
        <w:rPr>
          <w:rFonts w:asciiTheme="majorEastAsia" w:eastAsiaTheme="majorEastAsia" w:hAnsiTheme="majorEastAsia" w:hint="eastAsia"/>
          <w:sz w:val="24"/>
          <w:szCs w:val="24"/>
        </w:rPr>
        <w:t>て取得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することに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なります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D64B2" w:rsidRPr="003B513C" w:rsidRDefault="00210527" w:rsidP="00FD64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つきましては、保険者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損害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賠償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額の支払の請求を加害者に行う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にあたり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、保険者が医療機関に対して診療に関する内容の照会を行い、医療機関から情報提供を受けること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に同意します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p w:rsidR="00FD64B2" w:rsidRDefault="00FD64B2" w:rsidP="00FD64B2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あわせて次の事項を遵守することを誓約します。</w:t>
      </w:r>
    </w:p>
    <w:p w:rsidR="003F1F75" w:rsidRPr="003B513C" w:rsidRDefault="003F1F75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１．加害者と示談を行おうとする場合は、必ず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事前に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その内容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申し出る</w:t>
      </w:r>
    </w:p>
    <w:p w:rsidR="003F1F75" w:rsidRPr="003B513C" w:rsidRDefault="003F1F75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:rsidR="003F1F75" w:rsidRPr="003B513C" w:rsidRDefault="003F1F75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２．加害者に白紙委任状を渡さない</w:t>
      </w:r>
      <w:r w:rsidR="00186E6F" w:rsidRPr="003B513C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３．加害者から金品を受けたときは、受領日、内容、金額をもれなく、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す</w:t>
      </w:r>
    </w:p>
    <w:p w:rsidR="003F1F75" w:rsidRDefault="00521CCE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みやかに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ること。</w:t>
      </w:r>
    </w:p>
    <w:p w:rsidR="00E61449" w:rsidRPr="003B513C" w:rsidRDefault="00FD64B2" w:rsidP="00521CC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治療が完了した場合には治療完了日を報告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すること。</w:t>
      </w:r>
    </w:p>
    <w:p w:rsidR="00E61449" w:rsidRPr="003B513C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</w:p>
    <w:p w:rsidR="00521CCE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20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  月　　 日</w:t>
      </w:r>
    </w:p>
    <w:p w:rsidR="00521CCE" w:rsidRPr="003B513C" w:rsidRDefault="00521CCE" w:rsidP="00521CCE">
      <w:pPr>
        <w:ind w:firstLineChars="1402" w:firstLine="37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届出者（被保険者）</w:t>
      </w:r>
    </w:p>
    <w:p w:rsidR="00E61449" w:rsidRPr="003B513C" w:rsidRDefault="00E61449" w:rsidP="004E3E6E">
      <w:pPr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E61449" w:rsidRDefault="001900E8" w:rsidP="0095076B">
      <w:pPr>
        <w:spacing w:line="0" w:lineRule="atLeast"/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36A80" wp14:editId="46498E29">
                <wp:simplePos x="0" y="0"/>
                <wp:positionH relativeFrom="column">
                  <wp:posOffset>80645</wp:posOffset>
                </wp:positionH>
                <wp:positionV relativeFrom="paragraph">
                  <wp:posOffset>586740</wp:posOffset>
                </wp:positionV>
                <wp:extent cx="6477000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（注1）国民健康保険法第64条1項、高齢者の医療の確保に関する法律第58条1項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および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介護保険法第21条1項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36A80" id="正方形/長方形 1" o:spid="_x0000_s1026" style="position:absolute;left:0;text-align:left;margin-left:6.35pt;margin-top:46.2pt;width:51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（注1）国民健康保険法第64条1項、高齢者の医療の確保に関する法律第58条1項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および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介護保険法第21条1項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85D7" wp14:editId="6FC7846F">
                <wp:simplePos x="0" y="0"/>
                <wp:positionH relativeFrom="column">
                  <wp:posOffset>80645</wp:posOffset>
                </wp:positionH>
                <wp:positionV relativeFrom="paragraph">
                  <wp:posOffset>739140</wp:posOffset>
                </wp:positionV>
                <wp:extent cx="724852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（注2）国民健康保険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後期高齢者医療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および介護保険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については、国民健康保険法第64条3項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高齢者の医療の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85D7" id="正方形/長方形 2" o:spid="_x0000_s1027" style="position:absolute;left:0;text-align:left;margin-left:6.35pt;margin-top:58.2pt;width:57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（注2）国民健康保険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後期高齢者医療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および介護保険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については、国民健康保険法第64条3項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高齢者の医療の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095C7" wp14:editId="66EECC15">
                <wp:simplePos x="0" y="0"/>
                <wp:positionH relativeFrom="column">
                  <wp:posOffset>433070</wp:posOffset>
                </wp:positionH>
                <wp:positionV relativeFrom="paragraph">
                  <wp:posOffset>900430</wp:posOffset>
                </wp:positionV>
                <wp:extent cx="72009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0BC5" w:rsidRPr="00EA3321" w:rsidRDefault="003E0BC5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確保に関する法律第58条3項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または介護保険法第21条3項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の規定に基づき、損害賠償金の徴収又は収納の</w:t>
                            </w:r>
                          </w:p>
                          <w:p w:rsidR="003E0BC5" w:rsidRPr="00EA3321" w:rsidRDefault="003E0BC5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95C7" id="正方形/長方形 4" o:spid="_x0000_s1028" style="position:absolute;left:0;text-align:left;margin-left:34.1pt;margin-top:70.9pt;width:56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" filled="f" stroked="f" strokeweight="2pt">
                <v:textbox>
                  <w:txbxContent>
                    <w:p w:rsidR="003E0BC5" w:rsidRPr="00EA3321" w:rsidRDefault="003E0BC5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確保に関する法律第58条3項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または介護保険法第21条3項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の規定に基づき、損害賠償金の徴収又は収納の</w:t>
                      </w:r>
                    </w:p>
                    <w:p w:rsidR="003E0BC5" w:rsidRPr="00EA3321" w:rsidRDefault="003E0BC5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0BC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824D5" wp14:editId="2349EC1A">
                <wp:simplePos x="0" y="0"/>
                <wp:positionH relativeFrom="column">
                  <wp:posOffset>433070</wp:posOffset>
                </wp:positionH>
                <wp:positionV relativeFrom="paragraph">
                  <wp:posOffset>1043305</wp:posOffset>
                </wp:positionV>
                <wp:extent cx="49530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事務を委託されている国民健康保険団体連合会を含みます。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24D5" id="正方形/長方形 3" o:spid="_x0000_s1029" style="position:absolute;left:0;text-align:left;margin-left:34.1pt;margin-top:82.15pt;width:39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事務を委託されている国民健康保険団体連合会を含みます。</w:t>
                      </w:r>
                    </w:p>
                  </w:txbxContent>
                </v:textbox>
              </v:rect>
            </w:pict>
          </mc:Fallback>
        </mc:AlternateConten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 w:rsidR="00FB1EEB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3E0B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95076B" w:rsidRDefault="0095076B" w:rsidP="0095076B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:rsidR="0095076B" w:rsidRPr="0095076B" w:rsidRDefault="0095076B" w:rsidP="0095076B">
      <w:pPr>
        <w:spacing w:line="0" w:lineRule="atLeast"/>
        <w:ind w:firstLineChars="1385" w:firstLine="2856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</w:t>
      </w:r>
      <w:r w:rsidRPr="0095076B">
        <w:rPr>
          <w:rFonts w:asciiTheme="majorEastAsia" w:eastAsiaTheme="majorEastAsia" w:hAnsiTheme="majorEastAsia" w:hint="eastAsia"/>
          <w:sz w:val="16"/>
          <w:szCs w:val="16"/>
        </w:rPr>
        <w:t>※署名又は記名押印</w:t>
      </w:r>
    </w:p>
    <w:sectPr w:rsidR="0095076B" w:rsidRPr="0095076B" w:rsidSect="00BA4251">
      <w:pgSz w:w="11906" w:h="16838"/>
      <w:pgMar w:top="851" w:right="1418" w:bottom="567" w:left="1418" w:header="851" w:footer="992" w:gutter="0"/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CE" w:rsidRDefault="00D105CE" w:rsidP="00666425">
      <w:r>
        <w:separator/>
      </w:r>
    </w:p>
  </w:endnote>
  <w:endnote w:type="continuationSeparator" w:id="0">
    <w:p w:rsidR="00D105CE" w:rsidRDefault="00D105CE" w:rsidP="0066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CE" w:rsidRDefault="00D105CE" w:rsidP="00666425">
      <w:r>
        <w:separator/>
      </w:r>
    </w:p>
  </w:footnote>
  <w:footnote w:type="continuationSeparator" w:id="0">
    <w:p w:rsidR="00D105CE" w:rsidRDefault="00D105CE" w:rsidP="0066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67631"/>
    <w:multiLevelType w:val="hybridMultilevel"/>
    <w:tmpl w:val="06A4F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A6"/>
    <w:rsid w:val="00042097"/>
    <w:rsid w:val="00186E6F"/>
    <w:rsid w:val="001900E8"/>
    <w:rsid w:val="001C3D20"/>
    <w:rsid w:val="00210527"/>
    <w:rsid w:val="00245BF0"/>
    <w:rsid w:val="003B513C"/>
    <w:rsid w:val="003E0BC5"/>
    <w:rsid w:val="003F1F75"/>
    <w:rsid w:val="003F690D"/>
    <w:rsid w:val="0040431B"/>
    <w:rsid w:val="004E3E6E"/>
    <w:rsid w:val="004F4C8E"/>
    <w:rsid w:val="00521CCE"/>
    <w:rsid w:val="005429A6"/>
    <w:rsid w:val="00587685"/>
    <w:rsid w:val="00666425"/>
    <w:rsid w:val="00780202"/>
    <w:rsid w:val="00805C60"/>
    <w:rsid w:val="0095076B"/>
    <w:rsid w:val="00976950"/>
    <w:rsid w:val="0098592D"/>
    <w:rsid w:val="009C4463"/>
    <w:rsid w:val="00A679C4"/>
    <w:rsid w:val="00A8418E"/>
    <w:rsid w:val="00A97336"/>
    <w:rsid w:val="00AD1657"/>
    <w:rsid w:val="00BA4251"/>
    <w:rsid w:val="00D105CE"/>
    <w:rsid w:val="00D91B56"/>
    <w:rsid w:val="00E61449"/>
    <w:rsid w:val="00E86287"/>
    <w:rsid w:val="00EA3321"/>
    <w:rsid w:val="00F06265"/>
    <w:rsid w:val="00FB1EEB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8C2CC"/>
  <w15:docId w15:val="{DD52D3BB-9E6A-48CC-ADBC-8532397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425"/>
  </w:style>
  <w:style w:type="paragraph" w:styleId="a6">
    <w:name w:val="footer"/>
    <w:basedOn w:val="a"/>
    <w:link w:val="a7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425"/>
  </w:style>
  <w:style w:type="paragraph" w:styleId="a8">
    <w:name w:val="No Spacing"/>
    <w:uiPriority w:val="1"/>
    <w:qFormat/>
    <w:rsid w:val="00A841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南相馬_Office2016サイレントインストール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根本沙也香</cp:lastModifiedBy>
  <cp:revision>2</cp:revision>
  <dcterms:created xsi:type="dcterms:W3CDTF">2021-08-26T00:42:00Z</dcterms:created>
  <dcterms:modified xsi:type="dcterms:W3CDTF">2021-08-26T00:47:00Z</dcterms:modified>
</cp:coreProperties>
</file>