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7241C" w14:textId="77777777" w:rsidR="00974A47" w:rsidRDefault="00974A47" w:rsidP="00974A47">
      <w:pPr>
        <w:pStyle w:val="Default"/>
      </w:pPr>
    </w:p>
    <w:p w14:paraId="7D310F86" w14:textId="5C8ECBEC" w:rsidR="00974A47" w:rsidRDefault="004A3880" w:rsidP="00974A47">
      <w:pPr>
        <w:pStyle w:val="Default"/>
        <w:jc w:val="center"/>
        <w:rPr>
          <w:sz w:val="21"/>
          <w:szCs w:val="21"/>
        </w:rPr>
      </w:pPr>
      <w:r w:rsidRPr="004A3880">
        <w:rPr>
          <w:rFonts w:hint="eastAsia"/>
          <w:sz w:val="21"/>
          <w:szCs w:val="21"/>
        </w:rPr>
        <w:t>イノベ重点分野実証実験</w:t>
      </w:r>
      <w:r w:rsidR="000B671A">
        <w:rPr>
          <w:rFonts w:hint="eastAsia"/>
          <w:sz w:val="21"/>
          <w:szCs w:val="21"/>
        </w:rPr>
        <w:t>実施に係る遵守事項</w:t>
      </w:r>
    </w:p>
    <w:p w14:paraId="5E2D8136" w14:textId="77777777" w:rsidR="000B671A" w:rsidRDefault="000B671A" w:rsidP="00974A47">
      <w:pPr>
        <w:pStyle w:val="Default"/>
        <w:jc w:val="center"/>
      </w:pPr>
    </w:p>
    <w:p w14:paraId="12C2E670" w14:textId="02E44A8F" w:rsidR="0018168B" w:rsidRPr="0018168B" w:rsidRDefault="0018168B" w:rsidP="0018168B">
      <w:pPr>
        <w:pStyle w:val="Default"/>
        <w:rPr>
          <w:sz w:val="21"/>
        </w:rPr>
      </w:pPr>
      <w:r>
        <w:rPr>
          <w:rFonts w:hint="eastAsia"/>
        </w:rPr>
        <w:t xml:space="preserve">　</w:t>
      </w:r>
      <w:r w:rsidR="004A3880" w:rsidRPr="004A3880">
        <w:rPr>
          <w:rFonts w:hint="eastAsia"/>
          <w:sz w:val="21"/>
          <w:szCs w:val="21"/>
        </w:rPr>
        <w:t>イノベ重点分野実証実験</w:t>
      </w:r>
      <w:r>
        <w:rPr>
          <w:rFonts w:hint="eastAsia"/>
          <w:sz w:val="21"/>
        </w:rPr>
        <w:t>に係る、</w:t>
      </w:r>
      <w:bookmarkStart w:id="0" w:name="_GoBack"/>
      <w:bookmarkEnd w:id="0"/>
      <w:r>
        <w:rPr>
          <w:rFonts w:hint="eastAsia"/>
          <w:sz w:val="21"/>
        </w:rPr>
        <w:t>実験実施企業の遵守事項は以下のとおりです。</w:t>
      </w:r>
    </w:p>
    <w:p w14:paraId="5A0F06CA" w14:textId="77777777" w:rsidR="0018168B" w:rsidRDefault="0018168B" w:rsidP="00C532F5">
      <w:pPr>
        <w:pStyle w:val="Default"/>
      </w:pPr>
    </w:p>
    <w:p w14:paraId="0D8464C1" w14:textId="77777777" w:rsidR="00C532F5" w:rsidRPr="007B66B3" w:rsidRDefault="00C532F5" w:rsidP="00C532F5">
      <w:pPr>
        <w:pStyle w:val="Default"/>
        <w:rPr>
          <w:sz w:val="21"/>
        </w:rPr>
      </w:pPr>
      <w:r w:rsidRPr="007B66B3">
        <w:rPr>
          <w:rFonts w:hint="eastAsia"/>
          <w:sz w:val="21"/>
        </w:rPr>
        <w:t>≪共通事項≫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9796"/>
      </w:tblGrid>
      <w:tr w:rsidR="009C05F5" w:rsidRPr="00C532F5" w14:paraId="53ACA562" w14:textId="77777777" w:rsidTr="00502B17">
        <w:tc>
          <w:tcPr>
            <w:tcW w:w="675" w:type="dxa"/>
          </w:tcPr>
          <w:p w14:paraId="2B19ECC6" w14:textId="77777777" w:rsidR="009C05F5" w:rsidRPr="00C532F5" w:rsidRDefault="009C05F5" w:rsidP="00974A47">
            <w:pPr>
              <w:pStyle w:val="Default"/>
              <w:rPr>
                <w:sz w:val="21"/>
                <w:szCs w:val="21"/>
              </w:rPr>
            </w:pPr>
            <w:r w:rsidRPr="00C532F5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9989" w:type="dxa"/>
          </w:tcPr>
          <w:p w14:paraId="1C9D254C" w14:textId="5EE0313C" w:rsidR="009C05F5" w:rsidRPr="00C532F5" w:rsidRDefault="00B861D1" w:rsidP="00B861D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本件実験の詳細について、市</w:t>
            </w:r>
            <w:r w:rsidR="00C532F5" w:rsidRPr="00C532F5">
              <w:rPr>
                <w:rFonts w:hint="eastAsia"/>
                <w:sz w:val="21"/>
                <w:szCs w:val="21"/>
              </w:rPr>
              <w:t>と協議を行い、</w:t>
            </w:r>
            <w:r>
              <w:rPr>
                <w:rFonts w:hint="eastAsia"/>
                <w:sz w:val="21"/>
                <w:szCs w:val="21"/>
              </w:rPr>
              <w:t>市</w:t>
            </w:r>
            <w:r w:rsidR="00C532F5" w:rsidRPr="00C532F5">
              <w:rPr>
                <w:rFonts w:hint="eastAsia"/>
                <w:sz w:val="21"/>
                <w:szCs w:val="21"/>
              </w:rPr>
              <w:t>の同意のもと実施すること。</w:t>
            </w:r>
          </w:p>
        </w:tc>
      </w:tr>
      <w:tr w:rsidR="009C05F5" w:rsidRPr="00C532F5" w14:paraId="7E8D934F" w14:textId="77777777" w:rsidTr="00502B17">
        <w:tc>
          <w:tcPr>
            <w:tcW w:w="675" w:type="dxa"/>
          </w:tcPr>
          <w:p w14:paraId="2151731A" w14:textId="77777777" w:rsidR="009C05F5" w:rsidRPr="00C532F5" w:rsidRDefault="009C05F5" w:rsidP="00974A47">
            <w:pPr>
              <w:pStyle w:val="Default"/>
              <w:rPr>
                <w:sz w:val="21"/>
                <w:szCs w:val="21"/>
              </w:rPr>
            </w:pPr>
            <w:r w:rsidRPr="00C532F5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9989" w:type="dxa"/>
          </w:tcPr>
          <w:p w14:paraId="4CB95F65" w14:textId="77777777" w:rsidR="009C05F5" w:rsidRPr="00C532F5" w:rsidRDefault="00C532F5" w:rsidP="00974A47">
            <w:pPr>
              <w:pStyle w:val="Default"/>
              <w:rPr>
                <w:sz w:val="21"/>
                <w:szCs w:val="21"/>
              </w:rPr>
            </w:pPr>
            <w:r w:rsidRPr="00C532F5">
              <w:rPr>
                <w:sz w:val="21"/>
                <w:szCs w:val="21"/>
              </w:rPr>
              <w:t>航空法、電波法、道路交通法</w:t>
            </w:r>
            <w:r w:rsidRPr="00C532F5">
              <w:rPr>
                <w:rFonts w:hint="eastAsia"/>
                <w:sz w:val="21"/>
                <w:szCs w:val="21"/>
              </w:rPr>
              <w:t>その他法令</w:t>
            </w:r>
            <w:r w:rsidRPr="00C532F5">
              <w:rPr>
                <w:sz w:val="21"/>
                <w:szCs w:val="21"/>
              </w:rPr>
              <w:t>を遵守し適切に運用</w:t>
            </w:r>
            <w:r w:rsidRPr="00C532F5">
              <w:rPr>
                <w:rFonts w:hint="eastAsia"/>
                <w:sz w:val="21"/>
                <w:szCs w:val="21"/>
              </w:rPr>
              <w:t>すること</w:t>
            </w:r>
            <w:r w:rsidRPr="00C532F5">
              <w:rPr>
                <w:sz w:val="21"/>
                <w:szCs w:val="21"/>
              </w:rPr>
              <w:t>。</w:t>
            </w:r>
          </w:p>
        </w:tc>
      </w:tr>
      <w:tr w:rsidR="009C05F5" w:rsidRPr="00C532F5" w14:paraId="3E636E87" w14:textId="77777777" w:rsidTr="00502B17">
        <w:tc>
          <w:tcPr>
            <w:tcW w:w="675" w:type="dxa"/>
          </w:tcPr>
          <w:p w14:paraId="185933F0" w14:textId="77777777" w:rsidR="009C05F5" w:rsidRPr="00C532F5" w:rsidRDefault="009C05F5" w:rsidP="00974A47">
            <w:pPr>
              <w:pStyle w:val="Default"/>
              <w:rPr>
                <w:sz w:val="21"/>
                <w:szCs w:val="21"/>
              </w:rPr>
            </w:pPr>
            <w:r w:rsidRPr="00C532F5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9989" w:type="dxa"/>
          </w:tcPr>
          <w:p w14:paraId="312A49F1" w14:textId="77777777" w:rsidR="009C05F5" w:rsidRPr="00C532F5" w:rsidRDefault="00C532F5" w:rsidP="00974A47">
            <w:pPr>
              <w:pStyle w:val="Default"/>
              <w:rPr>
                <w:sz w:val="21"/>
                <w:szCs w:val="21"/>
              </w:rPr>
            </w:pPr>
            <w:r w:rsidRPr="00C532F5">
              <w:rPr>
                <w:sz w:val="21"/>
                <w:szCs w:val="21"/>
              </w:rPr>
              <w:t>運用場所の事前確認、業務内容、担当者を明確に</w:t>
            </w:r>
            <w:r w:rsidRPr="00C532F5">
              <w:rPr>
                <w:rFonts w:hint="eastAsia"/>
                <w:sz w:val="21"/>
                <w:szCs w:val="21"/>
              </w:rPr>
              <w:t>すること。</w:t>
            </w:r>
          </w:p>
        </w:tc>
      </w:tr>
      <w:tr w:rsidR="009C05F5" w:rsidRPr="00C532F5" w14:paraId="1B92D40B" w14:textId="77777777" w:rsidTr="00502B17">
        <w:tc>
          <w:tcPr>
            <w:tcW w:w="675" w:type="dxa"/>
          </w:tcPr>
          <w:p w14:paraId="079411EE" w14:textId="77777777" w:rsidR="009C05F5" w:rsidRPr="00C532F5" w:rsidRDefault="009C05F5" w:rsidP="00974A47">
            <w:pPr>
              <w:pStyle w:val="Default"/>
              <w:rPr>
                <w:sz w:val="21"/>
                <w:szCs w:val="21"/>
              </w:rPr>
            </w:pPr>
            <w:r w:rsidRPr="00C532F5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9989" w:type="dxa"/>
          </w:tcPr>
          <w:p w14:paraId="5680859E" w14:textId="3E6E7A0A" w:rsidR="009C05F5" w:rsidRPr="00C532F5" w:rsidRDefault="00B861D1" w:rsidP="00974A47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事前に協議した計画に変更がある場合は、本件実験開始前に市</w:t>
            </w:r>
            <w:r w:rsidR="00C532F5" w:rsidRPr="00C532F5">
              <w:rPr>
                <w:rFonts w:hint="eastAsia"/>
                <w:sz w:val="21"/>
                <w:szCs w:val="21"/>
              </w:rPr>
              <w:t>に申し出ること。</w:t>
            </w:r>
          </w:p>
        </w:tc>
      </w:tr>
      <w:tr w:rsidR="009C05F5" w:rsidRPr="00C532F5" w14:paraId="76909182" w14:textId="77777777" w:rsidTr="00502B17">
        <w:tc>
          <w:tcPr>
            <w:tcW w:w="675" w:type="dxa"/>
          </w:tcPr>
          <w:p w14:paraId="6ADD7512" w14:textId="77777777" w:rsidR="009C05F5" w:rsidRPr="00C532F5" w:rsidRDefault="009C05F5" w:rsidP="00974A47">
            <w:pPr>
              <w:pStyle w:val="Default"/>
              <w:rPr>
                <w:sz w:val="21"/>
                <w:szCs w:val="21"/>
              </w:rPr>
            </w:pPr>
            <w:r w:rsidRPr="00C532F5"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9989" w:type="dxa"/>
          </w:tcPr>
          <w:p w14:paraId="4CE133E4" w14:textId="168772EC" w:rsidR="009C05F5" w:rsidRPr="00C532F5" w:rsidRDefault="00B861D1" w:rsidP="00974A47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</w:t>
            </w:r>
            <w:r w:rsidR="00C532F5" w:rsidRPr="00C532F5">
              <w:rPr>
                <w:rFonts w:hint="eastAsia"/>
                <w:sz w:val="21"/>
                <w:szCs w:val="21"/>
              </w:rPr>
              <w:t>から申入れがあった場合には、直ちに本件実験を中止すること。</w:t>
            </w:r>
          </w:p>
        </w:tc>
      </w:tr>
      <w:tr w:rsidR="009C05F5" w:rsidRPr="00C532F5" w14:paraId="374EFDC2" w14:textId="77777777" w:rsidTr="00502B17">
        <w:tc>
          <w:tcPr>
            <w:tcW w:w="675" w:type="dxa"/>
          </w:tcPr>
          <w:p w14:paraId="232B26B5" w14:textId="77777777" w:rsidR="009C05F5" w:rsidRPr="00C532F5" w:rsidRDefault="009C05F5" w:rsidP="00974A47">
            <w:pPr>
              <w:pStyle w:val="Default"/>
              <w:rPr>
                <w:sz w:val="21"/>
                <w:szCs w:val="21"/>
              </w:rPr>
            </w:pPr>
            <w:r w:rsidRPr="00C532F5"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9989" w:type="dxa"/>
          </w:tcPr>
          <w:p w14:paraId="4978B89B" w14:textId="5610AF43" w:rsidR="009C05F5" w:rsidRPr="00C532F5" w:rsidRDefault="00B861D1" w:rsidP="00974A47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</w:t>
            </w:r>
            <w:r w:rsidR="00C532F5" w:rsidRPr="00C532F5">
              <w:rPr>
                <w:rFonts w:hint="eastAsia"/>
                <w:sz w:val="21"/>
                <w:szCs w:val="21"/>
              </w:rPr>
              <w:t>の職員が本件実験に立ち会わない場合は、実験の開始時及び終了時に甲に報告すること。</w:t>
            </w:r>
          </w:p>
        </w:tc>
      </w:tr>
      <w:tr w:rsidR="00C532F5" w:rsidRPr="00C532F5" w14:paraId="059527FF" w14:textId="77777777" w:rsidTr="00502B17">
        <w:tc>
          <w:tcPr>
            <w:tcW w:w="675" w:type="dxa"/>
          </w:tcPr>
          <w:p w14:paraId="6C69C115" w14:textId="77777777" w:rsidR="00C532F5" w:rsidRPr="00C532F5" w:rsidRDefault="00C532F5" w:rsidP="005014EE">
            <w:pPr>
              <w:pStyle w:val="Default"/>
              <w:rPr>
                <w:sz w:val="21"/>
                <w:szCs w:val="21"/>
              </w:rPr>
            </w:pPr>
            <w:r w:rsidRPr="00C532F5"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9989" w:type="dxa"/>
          </w:tcPr>
          <w:p w14:paraId="30213904" w14:textId="77777777" w:rsidR="00C532F5" w:rsidRPr="00C532F5" w:rsidRDefault="00C532F5" w:rsidP="00974A47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原則、実験時間は、日の出から日没までの間とすること。</w:t>
            </w:r>
          </w:p>
        </w:tc>
      </w:tr>
      <w:tr w:rsidR="00C532F5" w:rsidRPr="00C532F5" w14:paraId="26315C41" w14:textId="77777777" w:rsidTr="00502B17">
        <w:tc>
          <w:tcPr>
            <w:tcW w:w="675" w:type="dxa"/>
          </w:tcPr>
          <w:p w14:paraId="462C176F" w14:textId="77777777" w:rsidR="00C532F5" w:rsidRPr="00C532F5" w:rsidRDefault="00C532F5" w:rsidP="005014EE">
            <w:pPr>
              <w:pStyle w:val="Default"/>
              <w:rPr>
                <w:sz w:val="21"/>
                <w:szCs w:val="21"/>
              </w:rPr>
            </w:pPr>
            <w:r w:rsidRPr="00C532F5">
              <w:rPr>
                <w:rFonts w:hint="eastAsia"/>
                <w:sz w:val="21"/>
                <w:szCs w:val="21"/>
              </w:rPr>
              <w:t>８</w:t>
            </w:r>
          </w:p>
        </w:tc>
        <w:tc>
          <w:tcPr>
            <w:tcW w:w="9989" w:type="dxa"/>
          </w:tcPr>
          <w:p w14:paraId="248BE733" w14:textId="1C6DC9FE" w:rsidR="00C532F5" w:rsidRPr="00C532F5" w:rsidRDefault="00C532F5" w:rsidP="00502B17">
            <w:pPr>
              <w:pStyle w:val="Default"/>
              <w:rPr>
                <w:sz w:val="21"/>
                <w:szCs w:val="21"/>
              </w:rPr>
            </w:pPr>
            <w:r w:rsidRPr="00C532F5">
              <w:rPr>
                <w:sz w:val="21"/>
                <w:szCs w:val="21"/>
              </w:rPr>
              <w:t>原則、</w:t>
            </w:r>
            <w:r w:rsidRPr="00C532F5">
              <w:rPr>
                <w:rFonts w:hint="eastAsia"/>
                <w:sz w:val="21"/>
                <w:szCs w:val="21"/>
              </w:rPr>
              <w:t>荒天時は</w:t>
            </w:r>
            <w:r w:rsidR="00502B17">
              <w:rPr>
                <w:rFonts w:hint="eastAsia"/>
                <w:sz w:val="21"/>
                <w:szCs w:val="21"/>
              </w:rPr>
              <w:t>実験を実施</w:t>
            </w:r>
            <w:r w:rsidRPr="00C532F5">
              <w:rPr>
                <w:rFonts w:hint="eastAsia"/>
                <w:sz w:val="21"/>
                <w:szCs w:val="21"/>
              </w:rPr>
              <w:t>しないこと</w:t>
            </w:r>
            <w:r w:rsidRPr="00C532F5">
              <w:rPr>
                <w:sz w:val="21"/>
                <w:szCs w:val="21"/>
              </w:rPr>
              <w:t>。</w:t>
            </w:r>
            <w:r w:rsidRPr="00C532F5">
              <w:rPr>
                <w:rFonts w:hint="eastAsia"/>
                <w:sz w:val="21"/>
                <w:szCs w:val="21"/>
              </w:rPr>
              <w:t>ただし、荒天時における</w:t>
            </w:r>
            <w:r w:rsidR="00502B17">
              <w:rPr>
                <w:rFonts w:hint="eastAsia"/>
                <w:sz w:val="21"/>
                <w:szCs w:val="21"/>
              </w:rPr>
              <w:t>ロボット</w:t>
            </w:r>
            <w:r w:rsidR="00B861D1">
              <w:rPr>
                <w:rFonts w:hint="eastAsia"/>
                <w:sz w:val="21"/>
                <w:szCs w:val="21"/>
              </w:rPr>
              <w:t>等</w:t>
            </w:r>
            <w:r w:rsidR="00502B17">
              <w:rPr>
                <w:rFonts w:hint="eastAsia"/>
                <w:sz w:val="21"/>
                <w:szCs w:val="21"/>
              </w:rPr>
              <w:t>の</w:t>
            </w:r>
            <w:r w:rsidRPr="00C532F5">
              <w:rPr>
                <w:rFonts w:hint="eastAsia"/>
                <w:sz w:val="21"/>
                <w:szCs w:val="21"/>
              </w:rPr>
              <w:t>運用を目的とした実験の場合は別途協議すること。</w:t>
            </w:r>
          </w:p>
        </w:tc>
      </w:tr>
      <w:tr w:rsidR="00C532F5" w:rsidRPr="00C532F5" w14:paraId="2EC4E6F4" w14:textId="77777777" w:rsidTr="00502B17">
        <w:tc>
          <w:tcPr>
            <w:tcW w:w="675" w:type="dxa"/>
          </w:tcPr>
          <w:p w14:paraId="4EAD0374" w14:textId="77777777" w:rsidR="00C532F5" w:rsidRPr="00C532F5" w:rsidRDefault="00C532F5" w:rsidP="00974A47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9989" w:type="dxa"/>
          </w:tcPr>
          <w:p w14:paraId="5E6A4AD0" w14:textId="13FDDA32" w:rsidR="00C532F5" w:rsidRPr="00C532F5" w:rsidRDefault="00B861D1" w:rsidP="00974A47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実験に伴い撮影を行う場合は、撮影内容について市</w:t>
            </w:r>
            <w:r w:rsidR="00C532F5" w:rsidRPr="00C532F5">
              <w:rPr>
                <w:rFonts w:hint="eastAsia"/>
                <w:sz w:val="21"/>
                <w:szCs w:val="21"/>
              </w:rPr>
              <w:t>と協議すること。</w:t>
            </w:r>
          </w:p>
        </w:tc>
      </w:tr>
      <w:tr w:rsidR="00502B17" w:rsidRPr="00C532F5" w14:paraId="0EE95766" w14:textId="77777777" w:rsidTr="00502B17">
        <w:tc>
          <w:tcPr>
            <w:tcW w:w="675" w:type="dxa"/>
          </w:tcPr>
          <w:p w14:paraId="52DCECDD" w14:textId="77777777" w:rsidR="00502B17" w:rsidRDefault="00502B17" w:rsidP="00974A47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１０</w:t>
            </w:r>
          </w:p>
        </w:tc>
        <w:tc>
          <w:tcPr>
            <w:tcW w:w="9989" w:type="dxa"/>
          </w:tcPr>
          <w:p w14:paraId="0077CC68" w14:textId="77777777" w:rsidR="00502B17" w:rsidRPr="00C532F5" w:rsidRDefault="00502B17" w:rsidP="00974A47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大きな騒音等が発生する実験を行う場合は、近隣住民へ周知すること。</w:t>
            </w:r>
          </w:p>
        </w:tc>
      </w:tr>
    </w:tbl>
    <w:p w14:paraId="28CA9E94" w14:textId="77777777" w:rsidR="009C05F5" w:rsidRDefault="009C05F5" w:rsidP="009C05F5">
      <w:pPr>
        <w:pStyle w:val="Default"/>
        <w:rPr>
          <w:sz w:val="21"/>
          <w:szCs w:val="21"/>
        </w:rPr>
      </w:pPr>
    </w:p>
    <w:p w14:paraId="00324D6D" w14:textId="77777777" w:rsidR="00C532F5" w:rsidRDefault="00C532F5" w:rsidP="009C05F5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≪航空機に関する事項≫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9796"/>
      </w:tblGrid>
      <w:tr w:rsidR="00C532F5" w:rsidRPr="004311FD" w14:paraId="0F02F6EE" w14:textId="77777777" w:rsidTr="00B861D1">
        <w:tc>
          <w:tcPr>
            <w:tcW w:w="670" w:type="dxa"/>
          </w:tcPr>
          <w:p w14:paraId="24D10C87" w14:textId="77777777" w:rsidR="00C532F5" w:rsidRDefault="00C532F5" w:rsidP="000B671A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9796" w:type="dxa"/>
          </w:tcPr>
          <w:p w14:paraId="02DA628A" w14:textId="5675AD2D" w:rsidR="00C532F5" w:rsidRPr="00A27763" w:rsidRDefault="00C532F5" w:rsidP="00A27763">
            <w:pPr>
              <w:pStyle w:val="Default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対地高度</w:t>
            </w:r>
            <w:r>
              <w:rPr>
                <w:rFonts w:hint="eastAsia"/>
                <w:sz w:val="21"/>
                <w:szCs w:val="21"/>
              </w:rPr>
              <w:t>は</w:t>
            </w:r>
            <w:r w:rsidR="00316635">
              <w:rPr>
                <w:rFonts w:ascii="Century" w:hAnsi="Century" w:cs="Century" w:hint="eastAsia"/>
                <w:sz w:val="21"/>
                <w:szCs w:val="21"/>
              </w:rPr>
              <w:t>1</w:t>
            </w:r>
            <w:r>
              <w:rPr>
                <w:rFonts w:ascii="Century" w:hAnsi="Century" w:cs="Century"/>
                <w:sz w:val="21"/>
                <w:szCs w:val="21"/>
              </w:rPr>
              <w:t>50m</w:t>
            </w:r>
            <w:r>
              <w:rPr>
                <w:sz w:val="21"/>
                <w:szCs w:val="21"/>
              </w:rPr>
              <w:t>未満</w:t>
            </w:r>
            <w:r>
              <w:rPr>
                <w:rFonts w:hint="eastAsia"/>
                <w:sz w:val="21"/>
                <w:szCs w:val="21"/>
              </w:rPr>
              <w:t>とすること</w:t>
            </w:r>
            <w:r>
              <w:rPr>
                <w:sz w:val="21"/>
                <w:szCs w:val="21"/>
              </w:rPr>
              <w:t>。</w:t>
            </w:r>
            <w:r w:rsidR="004311FD">
              <w:rPr>
                <w:rFonts w:hint="eastAsia"/>
                <w:sz w:val="21"/>
                <w:szCs w:val="21"/>
              </w:rPr>
              <w:t>ただし、許可を受けている場合にはその限りではない。</w:t>
            </w:r>
          </w:p>
        </w:tc>
      </w:tr>
      <w:tr w:rsidR="00C532F5" w14:paraId="3F8FDF36" w14:textId="77777777" w:rsidTr="00B861D1">
        <w:tc>
          <w:tcPr>
            <w:tcW w:w="670" w:type="dxa"/>
          </w:tcPr>
          <w:p w14:paraId="16AD54DE" w14:textId="2BEEBC05" w:rsidR="00C532F5" w:rsidRDefault="00B861D1" w:rsidP="000B671A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9796" w:type="dxa"/>
          </w:tcPr>
          <w:p w14:paraId="129D81F9" w14:textId="77777777" w:rsidR="00C532F5" w:rsidRDefault="00885798" w:rsidP="000B671A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原則、航空機の飛行エリアには人を立ち入らせないこととし、立ち入らせる場合には必要な安全対策を講じること。</w:t>
            </w:r>
          </w:p>
        </w:tc>
      </w:tr>
    </w:tbl>
    <w:p w14:paraId="0D72E579" w14:textId="77777777" w:rsidR="00C532F5" w:rsidRDefault="00C532F5" w:rsidP="000B671A">
      <w:pPr>
        <w:pStyle w:val="Default"/>
        <w:rPr>
          <w:sz w:val="21"/>
          <w:szCs w:val="21"/>
        </w:rPr>
      </w:pPr>
    </w:p>
    <w:p w14:paraId="0BDA180B" w14:textId="555816A6" w:rsidR="009C05F5" w:rsidRDefault="007B66B3" w:rsidP="009C05F5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≪船舶型・潜水型ロボット</w:t>
      </w:r>
      <w:r w:rsidR="006100A7">
        <w:rPr>
          <w:rFonts w:hint="eastAsia"/>
          <w:sz w:val="21"/>
          <w:szCs w:val="21"/>
        </w:rPr>
        <w:t>等</w:t>
      </w:r>
      <w:r>
        <w:rPr>
          <w:rFonts w:hint="eastAsia"/>
          <w:sz w:val="21"/>
          <w:szCs w:val="21"/>
        </w:rPr>
        <w:t>に関する事項≫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9796"/>
      </w:tblGrid>
      <w:tr w:rsidR="007B66B3" w14:paraId="6F00B36A" w14:textId="77777777" w:rsidTr="00B861D1">
        <w:tc>
          <w:tcPr>
            <w:tcW w:w="670" w:type="dxa"/>
          </w:tcPr>
          <w:p w14:paraId="48D9239B" w14:textId="77777777" w:rsidR="007B66B3" w:rsidRDefault="007B66B3" w:rsidP="009C05F5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9796" w:type="dxa"/>
          </w:tcPr>
          <w:p w14:paraId="4D37C155" w14:textId="5E9F8EB3" w:rsidR="007B66B3" w:rsidRDefault="007B66B3" w:rsidP="007B66B3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ロボット</w:t>
            </w:r>
            <w:r w:rsidR="006100A7"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</w:rPr>
              <w:t>が操縦不能等実験を継続できない状態になった場合には、速やかに回収すること。</w:t>
            </w:r>
          </w:p>
        </w:tc>
      </w:tr>
      <w:tr w:rsidR="007B66B3" w14:paraId="4114FD20" w14:textId="77777777" w:rsidTr="00B861D1">
        <w:tc>
          <w:tcPr>
            <w:tcW w:w="670" w:type="dxa"/>
          </w:tcPr>
          <w:p w14:paraId="08EFEC09" w14:textId="77777777" w:rsidR="007B66B3" w:rsidRDefault="007B66B3" w:rsidP="009C05F5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9796" w:type="dxa"/>
          </w:tcPr>
          <w:p w14:paraId="773ED8ED" w14:textId="2CA2EFEC" w:rsidR="007B66B3" w:rsidRDefault="007B66B3" w:rsidP="009C05F5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水質汚染を発生させるような機構があるロボット</w:t>
            </w:r>
            <w:r w:rsidR="006100A7"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</w:rPr>
              <w:t>の実験を行わないこと。</w:t>
            </w:r>
          </w:p>
        </w:tc>
      </w:tr>
      <w:tr w:rsidR="007B66B3" w14:paraId="10FD971E" w14:textId="77777777" w:rsidTr="00B861D1">
        <w:tc>
          <w:tcPr>
            <w:tcW w:w="670" w:type="dxa"/>
          </w:tcPr>
          <w:p w14:paraId="5D3F865F" w14:textId="77777777" w:rsidR="007B66B3" w:rsidRDefault="007B66B3" w:rsidP="009C05F5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9796" w:type="dxa"/>
          </w:tcPr>
          <w:p w14:paraId="6912CADE" w14:textId="77777777" w:rsidR="007B66B3" w:rsidRDefault="007B66B3" w:rsidP="009C05F5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著しい水質汚濁を発生させるような実験を行わないこと。</w:t>
            </w:r>
          </w:p>
        </w:tc>
      </w:tr>
      <w:tr w:rsidR="007B66B3" w14:paraId="5E90035A" w14:textId="77777777" w:rsidTr="00B861D1">
        <w:tc>
          <w:tcPr>
            <w:tcW w:w="670" w:type="dxa"/>
          </w:tcPr>
          <w:p w14:paraId="6B9B2606" w14:textId="77777777" w:rsidR="007B66B3" w:rsidRDefault="007B66B3" w:rsidP="009C05F5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9796" w:type="dxa"/>
          </w:tcPr>
          <w:p w14:paraId="3A0EA300" w14:textId="77777777" w:rsidR="007B66B3" w:rsidRDefault="00C17429" w:rsidP="009C05F5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ダム</w:t>
            </w:r>
            <w:r w:rsidR="007B66B3">
              <w:rPr>
                <w:rFonts w:hint="eastAsia"/>
                <w:sz w:val="21"/>
                <w:szCs w:val="21"/>
              </w:rPr>
              <w:t>取水口付近では実験を行わないこと。</w:t>
            </w:r>
          </w:p>
        </w:tc>
      </w:tr>
    </w:tbl>
    <w:p w14:paraId="500120CE" w14:textId="77777777" w:rsidR="007B66B3" w:rsidRPr="009C05F5" w:rsidRDefault="007B66B3" w:rsidP="009C05F5">
      <w:pPr>
        <w:pStyle w:val="Default"/>
        <w:rPr>
          <w:sz w:val="21"/>
          <w:szCs w:val="21"/>
        </w:rPr>
      </w:pPr>
    </w:p>
    <w:sectPr w:rsidR="007B66B3" w:rsidRPr="009C05F5" w:rsidSect="00974A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29611" w14:textId="77777777" w:rsidR="007D4BEE" w:rsidRDefault="007D4BEE" w:rsidP="000B671A">
      <w:r>
        <w:separator/>
      </w:r>
    </w:p>
  </w:endnote>
  <w:endnote w:type="continuationSeparator" w:id="0">
    <w:p w14:paraId="3C787613" w14:textId="77777777" w:rsidR="007D4BEE" w:rsidRDefault="007D4BEE" w:rsidP="000B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A1E6D" w14:textId="77777777" w:rsidR="007D4BEE" w:rsidRDefault="007D4BEE" w:rsidP="000B671A">
      <w:r>
        <w:separator/>
      </w:r>
    </w:p>
  </w:footnote>
  <w:footnote w:type="continuationSeparator" w:id="0">
    <w:p w14:paraId="1E88EA7E" w14:textId="77777777" w:rsidR="007D4BEE" w:rsidRDefault="007D4BEE" w:rsidP="000B6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47"/>
    <w:rsid w:val="00014B70"/>
    <w:rsid w:val="00062540"/>
    <w:rsid w:val="000A6523"/>
    <w:rsid w:val="000B671A"/>
    <w:rsid w:val="000B7DB3"/>
    <w:rsid w:val="000F3765"/>
    <w:rsid w:val="000F6A9E"/>
    <w:rsid w:val="000F727C"/>
    <w:rsid w:val="00121D85"/>
    <w:rsid w:val="00132B46"/>
    <w:rsid w:val="00134573"/>
    <w:rsid w:val="001741C3"/>
    <w:rsid w:val="0018168B"/>
    <w:rsid w:val="001A6587"/>
    <w:rsid w:val="001B1EC0"/>
    <w:rsid w:val="001D2602"/>
    <w:rsid w:val="001E0C57"/>
    <w:rsid w:val="001F31DC"/>
    <w:rsid w:val="002150C6"/>
    <w:rsid w:val="0024453B"/>
    <w:rsid w:val="002A6227"/>
    <w:rsid w:val="002B4163"/>
    <w:rsid w:val="002C1C8C"/>
    <w:rsid w:val="002C588D"/>
    <w:rsid w:val="003006C7"/>
    <w:rsid w:val="00316635"/>
    <w:rsid w:val="00337BF5"/>
    <w:rsid w:val="00342A80"/>
    <w:rsid w:val="0034673E"/>
    <w:rsid w:val="00356964"/>
    <w:rsid w:val="00374A18"/>
    <w:rsid w:val="00377E5C"/>
    <w:rsid w:val="00396821"/>
    <w:rsid w:val="003E70C4"/>
    <w:rsid w:val="004168E7"/>
    <w:rsid w:val="004265F4"/>
    <w:rsid w:val="00430041"/>
    <w:rsid w:val="004311FD"/>
    <w:rsid w:val="004509A4"/>
    <w:rsid w:val="00455C1A"/>
    <w:rsid w:val="00476074"/>
    <w:rsid w:val="004A3880"/>
    <w:rsid w:val="004B1969"/>
    <w:rsid w:val="00502B17"/>
    <w:rsid w:val="00525AD5"/>
    <w:rsid w:val="00531C13"/>
    <w:rsid w:val="005357D7"/>
    <w:rsid w:val="0053663F"/>
    <w:rsid w:val="0058414E"/>
    <w:rsid w:val="00595AF7"/>
    <w:rsid w:val="005C080B"/>
    <w:rsid w:val="005F3C2F"/>
    <w:rsid w:val="006100A7"/>
    <w:rsid w:val="00673A8D"/>
    <w:rsid w:val="006877C3"/>
    <w:rsid w:val="00692BF7"/>
    <w:rsid w:val="0069759E"/>
    <w:rsid w:val="006C60DC"/>
    <w:rsid w:val="006E3135"/>
    <w:rsid w:val="00727C27"/>
    <w:rsid w:val="00735DC9"/>
    <w:rsid w:val="00741AE8"/>
    <w:rsid w:val="007432DD"/>
    <w:rsid w:val="00746D52"/>
    <w:rsid w:val="0075654D"/>
    <w:rsid w:val="00797184"/>
    <w:rsid w:val="007B66B3"/>
    <w:rsid w:val="007D3B23"/>
    <w:rsid w:val="007D4BEE"/>
    <w:rsid w:val="00805ABE"/>
    <w:rsid w:val="00840D6C"/>
    <w:rsid w:val="00875BA9"/>
    <w:rsid w:val="00882B60"/>
    <w:rsid w:val="00885798"/>
    <w:rsid w:val="008975E5"/>
    <w:rsid w:val="008F067E"/>
    <w:rsid w:val="0092631A"/>
    <w:rsid w:val="0093315C"/>
    <w:rsid w:val="00935A69"/>
    <w:rsid w:val="009542CB"/>
    <w:rsid w:val="00954E50"/>
    <w:rsid w:val="0097078F"/>
    <w:rsid w:val="00974A47"/>
    <w:rsid w:val="00992CB2"/>
    <w:rsid w:val="009C05F5"/>
    <w:rsid w:val="009D63EF"/>
    <w:rsid w:val="009E01C3"/>
    <w:rsid w:val="009E0E3E"/>
    <w:rsid w:val="009F48AA"/>
    <w:rsid w:val="009F56E4"/>
    <w:rsid w:val="00A02861"/>
    <w:rsid w:val="00A04405"/>
    <w:rsid w:val="00A23E92"/>
    <w:rsid w:val="00A27763"/>
    <w:rsid w:val="00A3729E"/>
    <w:rsid w:val="00A4370E"/>
    <w:rsid w:val="00A6077D"/>
    <w:rsid w:val="00A60D70"/>
    <w:rsid w:val="00A655A6"/>
    <w:rsid w:val="00A74196"/>
    <w:rsid w:val="00A75F08"/>
    <w:rsid w:val="00A82DD4"/>
    <w:rsid w:val="00A834C0"/>
    <w:rsid w:val="00AD09F6"/>
    <w:rsid w:val="00AD2C07"/>
    <w:rsid w:val="00AE510A"/>
    <w:rsid w:val="00AF4BB2"/>
    <w:rsid w:val="00B15F7D"/>
    <w:rsid w:val="00B51014"/>
    <w:rsid w:val="00B51AC0"/>
    <w:rsid w:val="00B52CAB"/>
    <w:rsid w:val="00B54030"/>
    <w:rsid w:val="00B861D1"/>
    <w:rsid w:val="00B94F83"/>
    <w:rsid w:val="00BA0CBF"/>
    <w:rsid w:val="00BC64B3"/>
    <w:rsid w:val="00BD089A"/>
    <w:rsid w:val="00C17429"/>
    <w:rsid w:val="00C20B98"/>
    <w:rsid w:val="00C532F5"/>
    <w:rsid w:val="00C563E2"/>
    <w:rsid w:val="00C708D7"/>
    <w:rsid w:val="00C82F09"/>
    <w:rsid w:val="00C85DE6"/>
    <w:rsid w:val="00C870FC"/>
    <w:rsid w:val="00C9032B"/>
    <w:rsid w:val="00C94771"/>
    <w:rsid w:val="00CA54D2"/>
    <w:rsid w:val="00CB40F2"/>
    <w:rsid w:val="00CC6022"/>
    <w:rsid w:val="00CD7461"/>
    <w:rsid w:val="00CE2AE5"/>
    <w:rsid w:val="00D000A3"/>
    <w:rsid w:val="00D012A5"/>
    <w:rsid w:val="00D015D8"/>
    <w:rsid w:val="00D07AB4"/>
    <w:rsid w:val="00D119C4"/>
    <w:rsid w:val="00D353C7"/>
    <w:rsid w:val="00D46543"/>
    <w:rsid w:val="00D54B77"/>
    <w:rsid w:val="00D56109"/>
    <w:rsid w:val="00D6382F"/>
    <w:rsid w:val="00D662C9"/>
    <w:rsid w:val="00D66DE2"/>
    <w:rsid w:val="00D6753C"/>
    <w:rsid w:val="00D77522"/>
    <w:rsid w:val="00D95336"/>
    <w:rsid w:val="00DA7D81"/>
    <w:rsid w:val="00E058CC"/>
    <w:rsid w:val="00E134F6"/>
    <w:rsid w:val="00E512B8"/>
    <w:rsid w:val="00E70D84"/>
    <w:rsid w:val="00E76809"/>
    <w:rsid w:val="00EA4110"/>
    <w:rsid w:val="00EA7995"/>
    <w:rsid w:val="00EA7BB6"/>
    <w:rsid w:val="00EB5994"/>
    <w:rsid w:val="00EC4151"/>
    <w:rsid w:val="00EC55F5"/>
    <w:rsid w:val="00EC7F10"/>
    <w:rsid w:val="00F00EDD"/>
    <w:rsid w:val="00F05710"/>
    <w:rsid w:val="00F229D2"/>
    <w:rsid w:val="00F25823"/>
    <w:rsid w:val="00F60D8A"/>
    <w:rsid w:val="00F65FC3"/>
    <w:rsid w:val="00F74950"/>
    <w:rsid w:val="00F77B36"/>
    <w:rsid w:val="00FC3628"/>
    <w:rsid w:val="00FE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7F6B0"/>
  <w15:docId w15:val="{73DFD057-FDE2-48F4-87AF-8B0525F8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4A4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B67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71A"/>
  </w:style>
  <w:style w:type="paragraph" w:styleId="a5">
    <w:name w:val="footer"/>
    <w:basedOn w:val="a"/>
    <w:link w:val="a6"/>
    <w:uiPriority w:val="99"/>
    <w:unhideWhenUsed/>
    <w:rsid w:val="000B6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71A"/>
  </w:style>
  <w:style w:type="paragraph" w:styleId="a7">
    <w:name w:val="Balloon Text"/>
    <w:basedOn w:val="a"/>
    <w:link w:val="a8"/>
    <w:uiPriority w:val="99"/>
    <w:semiHidden/>
    <w:unhideWhenUsed/>
    <w:rsid w:val="000B6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671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C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濵名瞬</dc:creator>
  <cp:lastModifiedBy>佐藤雅大</cp:lastModifiedBy>
  <cp:revision>9</cp:revision>
  <cp:lastPrinted>2022-12-20T08:25:00Z</cp:lastPrinted>
  <dcterms:created xsi:type="dcterms:W3CDTF">2022-04-19T06:34:00Z</dcterms:created>
  <dcterms:modified xsi:type="dcterms:W3CDTF">2023-09-04T01:22:00Z</dcterms:modified>
</cp:coreProperties>
</file>